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1EEDF"/>
  <w:body>
    <w:p w14:paraId="1CB90A05" w14:textId="13C824A7" w:rsidR="00D4291D" w:rsidRPr="00605659" w:rsidRDefault="00024851" w:rsidP="00024851">
      <w:pPr>
        <w:jc w:val="center"/>
        <w:rPr>
          <w:rFonts w:ascii="Times New Roman" w:hAnsi="Times New Roman" w:cs="Times New Roman"/>
          <w:b/>
          <w:bCs/>
          <w:sz w:val="48"/>
          <w:szCs w:val="48"/>
        </w:rPr>
      </w:pPr>
      <w:r w:rsidRPr="00024851">
        <w:rPr>
          <w:rFonts w:ascii="Times New Roman" w:hAnsi="Times New Roman" w:cs="Times New Roman"/>
          <w:b/>
          <w:bCs/>
          <w:sz w:val="48"/>
          <w:szCs w:val="48"/>
        </w:rPr>
        <w:t>Role Play: Art Historian for a Day</w:t>
      </w:r>
    </w:p>
    <w:p w14:paraId="50F0DFAE" w14:textId="55C90B3D" w:rsidR="00024851" w:rsidRPr="00024851" w:rsidRDefault="00024851" w:rsidP="00605659">
      <w:pPr>
        <w:jc w:val="center"/>
        <w:rPr>
          <w:rFonts w:ascii="Times New Roman" w:hAnsi="Times New Roman" w:cs="Times New Roman"/>
          <w:sz w:val="20"/>
          <w:szCs w:val="20"/>
        </w:rPr>
      </w:pPr>
      <w:r w:rsidRPr="00024851">
        <w:rPr>
          <w:noProof/>
          <w:sz w:val="20"/>
          <w:szCs w:val="20"/>
        </w:rPr>
        <w:drawing>
          <wp:inline distT="0" distB="0" distL="0" distR="0" wp14:anchorId="3EDB054B" wp14:editId="60144CC8">
            <wp:extent cx="3793332" cy="5052906"/>
            <wp:effectExtent l="0" t="0" r="0" b="0"/>
            <wp:docPr id="3741747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6114" cy="5083253"/>
                    </a:xfrm>
                    <a:prstGeom prst="rect">
                      <a:avLst/>
                    </a:prstGeom>
                    <a:noFill/>
                    <a:ln>
                      <a:noFill/>
                    </a:ln>
                  </pic:spPr>
                </pic:pic>
              </a:graphicData>
            </a:graphic>
          </wp:inline>
        </w:drawing>
      </w:r>
    </w:p>
    <w:p w14:paraId="4C8F0DBE" w14:textId="30561F6D" w:rsidR="00024851" w:rsidRPr="00024851" w:rsidRDefault="00024851" w:rsidP="00024851">
      <w:pPr>
        <w:spacing w:after="0"/>
        <w:jc w:val="center"/>
        <w:rPr>
          <w:rFonts w:ascii="Times New Roman" w:hAnsi="Times New Roman" w:cs="Times New Roman"/>
          <w:sz w:val="20"/>
          <w:szCs w:val="20"/>
        </w:rPr>
      </w:pPr>
      <w:r w:rsidRPr="00024851">
        <w:rPr>
          <w:rFonts w:ascii="Times New Roman" w:hAnsi="Times New Roman" w:cs="Times New Roman"/>
          <w:b/>
          <w:bCs/>
          <w:sz w:val="20"/>
          <w:szCs w:val="20"/>
        </w:rPr>
        <w:t xml:space="preserve">Head of Aphrodite of the </w:t>
      </w:r>
      <w:proofErr w:type="spellStart"/>
      <w:r w:rsidRPr="00024851">
        <w:rPr>
          <w:rFonts w:ascii="Times New Roman" w:hAnsi="Times New Roman" w:cs="Times New Roman"/>
          <w:b/>
          <w:bCs/>
          <w:sz w:val="20"/>
          <w:szCs w:val="20"/>
        </w:rPr>
        <w:t>Aspremont</w:t>
      </w:r>
      <w:proofErr w:type="spellEnd"/>
      <w:r w:rsidRPr="00024851">
        <w:rPr>
          <w:rFonts w:ascii="Times New Roman" w:hAnsi="Times New Roman" w:cs="Times New Roman"/>
          <w:b/>
          <w:bCs/>
          <w:sz w:val="20"/>
          <w:szCs w:val="20"/>
        </w:rPr>
        <w:t>-Lynden/Arles type</w:t>
      </w:r>
      <w:r w:rsidRPr="00024851">
        <w:rPr>
          <w:rFonts w:ascii="Times New Roman" w:hAnsi="Times New Roman" w:cs="Times New Roman"/>
          <w:sz w:val="20"/>
          <w:szCs w:val="20"/>
        </w:rPr>
        <w:t>, 1st c. AD copy of an original 4</w:t>
      </w:r>
      <w:r w:rsidRPr="00024851">
        <w:rPr>
          <w:rFonts w:ascii="Times New Roman" w:hAnsi="Times New Roman" w:cs="Times New Roman"/>
          <w:sz w:val="20"/>
          <w:szCs w:val="20"/>
          <w:vertAlign w:val="superscript"/>
        </w:rPr>
        <w:t>th</w:t>
      </w:r>
      <w:r w:rsidRPr="00024851">
        <w:rPr>
          <w:rFonts w:ascii="Times New Roman" w:hAnsi="Times New Roman" w:cs="Times New Roman"/>
          <w:sz w:val="20"/>
          <w:szCs w:val="20"/>
        </w:rPr>
        <w:t xml:space="preserve"> century BC work by Praxiteles, Marble, possibly Parian (Marathi), Height: 32 cm, National Archaeological Museum, Athens, Greece</w:t>
      </w:r>
    </w:p>
    <w:p w14:paraId="7D9AA6E7" w14:textId="270F1A8D" w:rsidR="00024851" w:rsidRPr="00024851" w:rsidRDefault="00024851" w:rsidP="00024851">
      <w:pPr>
        <w:jc w:val="center"/>
        <w:rPr>
          <w:rFonts w:ascii="Times New Roman" w:hAnsi="Times New Roman" w:cs="Times New Roman"/>
          <w:sz w:val="20"/>
          <w:szCs w:val="20"/>
        </w:rPr>
      </w:pPr>
      <w:hyperlink r:id="rId6" w:history="1">
        <w:r w:rsidRPr="00024851">
          <w:rPr>
            <w:rStyle w:val="Hyperlink"/>
            <w:rFonts w:ascii="Times New Roman" w:hAnsi="Times New Roman" w:cs="Times New Roman"/>
            <w:sz w:val="20"/>
            <w:szCs w:val="20"/>
          </w:rPr>
          <w:t>https://blogs.getty.edu/iris/the-christian-empire-that-grew-from-classical-roots/</w:t>
        </w:r>
      </w:hyperlink>
    </w:p>
    <w:p w14:paraId="56C401EB" w14:textId="77777777" w:rsidR="00024851" w:rsidRDefault="00024851">
      <w:pPr>
        <w:rPr>
          <w:rFonts w:ascii="Times New Roman" w:hAnsi="Times New Roman" w:cs="Times New Roman"/>
          <w:sz w:val="24"/>
          <w:szCs w:val="24"/>
        </w:rPr>
      </w:pPr>
    </w:p>
    <w:p w14:paraId="3ACA800D" w14:textId="0D0D5BE0" w:rsidR="00024851" w:rsidRPr="00024851" w:rsidRDefault="00024851" w:rsidP="00024851">
      <w:pPr>
        <w:jc w:val="center"/>
        <w:rPr>
          <w:rFonts w:ascii="Times New Roman" w:hAnsi="Times New Roman" w:cs="Times New Roman"/>
          <w:sz w:val="24"/>
          <w:szCs w:val="24"/>
        </w:rPr>
      </w:pPr>
      <w:r w:rsidRPr="00024851">
        <w:rPr>
          <w:rFonts w:ascii="Times New Roman" w:hAnsi="Times New Roman" w:cs="Times New Roman"/>
          <w:b/>
          <w:bCs/>
          <w:sz w:val="24"/>
          <w:szCs w:val="24"/>
        </w:rPr>
        <w:t>Role Play: Art Historian for a Day</w:t>
      </w:r>
      <w:r>
        <w:rPr>
          <w:rFonts w:ascii="Times New Roman" w:hAnsi="Times New Roman" w:cs="Times New Roman"/>
          <w:b/>
          <w:bCs/>
          <w:sz w:val="24"/>
          <w:szCs w:val="24"/>
        </w:rPr>
        <w:t xml:space="preserve"> </w:t>
      </w:r>
      <w:r>
        <w:rPr>
          <w:rFonts w:ascii="Times New Roman" w:hAnsi="Times New Roman" w:cs="Times New Roman"/>
          <w:sz w:val="24"/>
          <w:szCs w:val="24"/>
        </w:rPr>
        <w:t>is</w:t>
      </w:r>
      <w:r w:rsidRPr="00024851">
        <w:rPr>
          <w:rFonts w:ascii="Times New Roman" w:hAnsi="Times New Roman" w:cs="Times New Roman"/>
          <w:sz w:val="24"/>
          <w:szCs w:val="24"/>
        </w:rPr>
        <w:t xml:space="preserve"> student activity, designed to deepen historical and critical thinking:</w:t>
      </w:r>
    </w:p>
    <w:p w14:paraId="411D4B67" w14:textId="77777777" w:rsidR="00024851" w:rsidRPr="00024851" w:rsidRDefault="00024851" w:rsidP="00024851">
      <w:pPr>
        <w:rPr>
          <w:rFonts w:ascii="Times New Roman" w:hAnsi="Times New Roman" w:cs="Times New Roman"/>
          <w:sz w:val="24"/>
          <w:szCs w:val="24"/>
        </w:rPr>
      </w:pPr>
      <w:r w:rsidRPr="00024851">
        <w:rPr>
          <w:rFonts w:ascii="Times New Roman" w:hAnsi="Times New Roman" w:cs="Times New Roman"/>
          <w:b/>
          <w:bCs/>
          <w:sz w:val="24"/>
          <w:szCs w:val="24"/>
        </w:rPr>
        <w:t>Objective:</w:t>
      </w:r>
      <w:r w:rsidRPr="00024851">
        <w:rPr>
          <w:rFonts w:ascii="Times New Roman" w:hAnsi="Times New Roman" w:cs="Times New Roman"/>
          <w:sz w:val="24"/>
          <w:szCs w:val="24"/>
        </w:rPr>
        <w:br/>
        <w:t xml:space="preserve">To develop critical research, analytical interpretation, and public presentation skills through the in-depth study of the </w:t>
      </w:r>
      <w:r w:rsidRPr="00024851">
        <w:rPr>
          <w:rFonts w:ascii="Times New Roman" w:hAnsi="Times New Roman" w:cs="Times New Roman"/>
          <w:i/>
          <w:iCs/>
          <w:sz w:val="24"/>
          <w:szCs w:val="24"/>
        </w:rPr>
        <w:t xml:space="preserve">Head of Aphrodite of the </w:t>
      </w:r>
      <w:proofErr w:type="spellStart"/>
      <w:r w:rsidRPr="00024851">
        <w:rPr>
          <w:rFonts w:ascii="Times New Roman" w:hAnsi="Times New Roman" w:cs="Times New Roman"/>
          <w:i/>
          <w:iCs/>
          <w:sz w:val="24"/>
          <w:szCs w:val="24"/>
        </w:rPr>
        <w:t>Aspremont</w:t>
      </w:r>
      <w:proofErr w:type="spellEnd"/>
      <w:r w:rsidRPr="00024851">
        <w:rPr>
          <w:rFonts w:ascii="Times New Roman" w:hAnsi="Times New Roman" w:cs="Times New Roman"/>
          <w:i/>
          <w:iCs/>
          <w:sz w:val="24"/>
          <w:szCs w:val="24"/>
        </w:rPr>
        <w:t>-Lynden/Arles type</w:t>
      </w:r>
      <w:r w:rsidRPr="00024851">
        <w:rPr>
          <w:rFonts w:ascii="Times New Roman" w:hAnsi="Times New Roman" w:cs="Times New Roman"/>
          <w:sz w:val="24"/>
          <w:szCs w:val="24"/>
        </w:rPr>
        <w:t>, encouraging students to engage with ancient sculpture as both historical artifact and cultural symbol.</w:t>
      </w:r>
    </w:p>
    <w:p w14:paraId="1BE29047" w14:textId="77777777" w:rsidR="00024851" w:rsidRPr="00024851" w:rsidRDefault="00024851" w:rsidP="00024851">
      <w:pPr>
        <w:rPr>
          <w:rFonts w:ascii="Times New Roman" w:hAnsi="Times New Roman" w:cs="Times New Roman"/>
          <w:sz w:val="24"/>
          <w:szCs w:val="24"/>
          <w:lang w:val="el-GR"/>
        </w:rPr>
      </w:pPr>
      <w:r w:rsidRPr="00024851">
        <w:rPr>
          <w:rFonts w:ascii="Times New Roman" w:hAnsi="Times New Roman" w:cs="Times New Roman"/>
          <w:b/>
          <w:bCs/>
          <w:sz w:val="24"/>
          <w:szCs w:val="24"/>
        </w:rPr>
        <w:t>Instructions:</w:t>
      </w:r>
      <w:r w:rsidRPr="00024851">
        <w:rPr>
          <w:rFonts w:ascii="Times New Roman" w:hAnsi="Times New Roman" w:cs="Times New Roman"/>
          <w:sz w:val="24"/>
          <w:szCs w:val="24"/>
        </w:rPr>
        <w:br/>
        <w:t xml:space="preserve">Students work in pairs to simulate a guided tour presentation at the National Archaeological Museum of Athens. </w:t>
      </w:r>
      <w:proofErr w:type="spellStart"/>
      <w:r w:rsidRPr="00024851">
        <w:rPr>
          <w:rFonts w:ascii="Times New Roman" w:hAnsi="Times New Roman" w:cs="Times New Roman"/>
          <w:sz w:val="24"/>
          <w:szCs w:val="24"/>
          <w:lang w:val="el-GR"/>
        </w:rPr>
        <w:t>Each</w:t>
      </w:r>
      <w:proofErr w:type="spellEnd"/>
      <w:r w:rsidRPr="00024851">
        <w:rPr>
          <w:rFonts w:ascii="Times New Roman" w:hAnsi="Times New Roman" w:cs="Times New Roman"/>
          <w:sz w:val="24"/>
          <w:szCs w:val="24"/>
          <w:lang w:val="el-GR"/>
        </w:rPr>
        <w:t xml:space="preserve"> </w:t>
      </w:r>
      <w:proofErr w:type="spellStart"/>
      <w:r w:rsidRPr="00024851">
        <w:rPr>
          <w:rFonts w:ascii="Times New Roman" w:hAnsi="Times New Roman" w:cs="Times New Roman"/>
          <w:sz w:val="24"/>
          <w:szCs w:val="24"/>
          <w:lang w:val="el-GR"/>
        </w:rPr>
        <w:t>pair</w:t>
      </w:r>
      <w:proofErr w:type="spellEnd"/>
      <w:r w:rsidRPr="00024851">
        <w:rPr>
          <w:rFonts w:ascii="Times New Roman" w:hAnsi="Times New Roman" w:cs="Times New Roman"/>
          <w:sz w:val="24"/>
          <w:szCs w:val="24"/>
          <w:lang w:val="el-GR"/>
        </w:rPr>
        <w:t xml:space="preserve"> </w:t>
      </w:r>
      <w:proofErr w:type="spellStart"/>
      <w:r w:rsidRPr="00024851">
        <w:rPr>
          <w:rFonts w:ascii="Times New Roman" w:hAnsi="Times New Roman" w:cs="Times New Roman"/>
          <w:sz w:val="24"/>
          <w:szCs w:val="24"/>
          <w:lang w:val="el-GR"/>
        </w:rPr>
        <w:t>will</w:t>
      </w:r>
      <w:proofErr w:type="spellEnd"/>
      <w:r w:rsidRPr="00024851">
        <w:rPr>
          <w:rFonts w:ascii="Times New Roman" w:hAnsi="Times New Roman" w:cs="Times New Roman"/>
          <w:sz w:val="24"/>
          <w:szCs w:val="24"/>
          <w:lang w:val="el-GR"/>
        </w:rPr>
        <w:t xml:space="preserve"> </w:t>
      </w:r>
      <w:proofErr w:type="spellStart"/>
      <w:r w:rsidRPr="00024851">
        <w:rPr>
          <w:rFonts w:ascii="Times New Roman" w:hAnsi="Times New Roman" w:cs="Times New Roman"/>
          <w:sz w:val="24"/>
          <w:szCs w:val="24"/>
          <w:lang w:val="el-GR"/>
        </w:rPr>
        <w:t>divide</w:t>
      </w:r>
      <w:proofErr w:type="spellEnd"/>
      <w:r w:rsidRPr="00024851">
        <w:rPr>
          <w:rFonts w:ascii="Times New Roman" w:hAnsi="Times New Roman" w:cs="Times New Roman"/>
          <w:sz w:val="24"/>
          <w:szCs w:val="24"/>
          <w:lang w:val="el-GR"/>
        </w:rPr>
        <w:t xml:space="preserve"> </w:t>
      </w:r>
      <w:proofErr w:type="spellStart"/>
      <w:r w:rsidRPr="00024851">
        <w:rPr>
          <w:rFonts w:ascii="Times New Roman" w:hAnsi="Times New Roman" w:cs="Times New Roman"/>
          <w:sz w:val="24"/>
          <w:szCs w:val="24"/>
          <w:lang w:val="el-GR"/>
        </w:rPr>
        <w:t>roles</w:t>
      </w:r>
      <w:proofErr w:type="spellEnd"/>
      <w:r w:rsidRPr="00024851">
        <w:rPr>
          <w:rFonts w:ascii="Times New Roman" w:hAnsi="Times New Roman" w:cs="Times New Roman"/>
          <w:sz w:val="24"/>
          <w:szCs w:val="24"/>
          <w:lang w:val="el-GR"/>
        </w:rPr>
        <w:t>:</w:t>
      </w:r>
    </w:p>
    <w:p w14:paraId="5DC5AFCF" w14:textId="77777777" w:rsidR="00024851" w:rsidRPr="00024851" w:rsidRDefault="00024851" w:rsidP="00024851">
      <w:pPr>
        <w:numPr>
          <w:ilvl w:val="0"/>
          <w:numId w:val="1"/>
        </w:numPr>
        <w:rPr>
          <w:rFonts w:ascii="Times New Roman" w:hAnsi="Times New Roman" w:cs="Times New Roman"/>
          <w:sz w:val="24"/>
          <w:szCs w:val="24"/>
        </w:rPr>
      </w:pPr>
      <w:r w:rsidRPr="00024851">
        <w:rPr>
          <w:rFonts w:ascii="Times New Roman" w:hAnsi="Times New Roman" w:cs="Times New Roman"/>
          <w:b/>
          <w:bCs/>
          <w:sz w:val="24"/>
          <w:szCs w:val="24"/>
        </w:rPr>
        <w:lastRenderedPageBreak/>
        <w:t>Presenter 1 (Curator/Historian):</w:t>
      </w:r>
      <w:r w:rsidRPr="00024851">
        <w:rPr>
          <w:rFonts w:ascii="Times New Roman" w:hAnsi="Times New Roman" w:cs="Times New Roman"/>
          <w:sz w:val="24"/>
          <w:szCs w:val="24"/>
        </w:rPr>
        <w:t xml:space="preserve"> Delivers a 5–7 minute analytical talk focused on the sculpture’s stylistic features, iconography, material, provenance, and its typological link to the Arles Aphrodite and broader classical ideals. They must draw on visual analysis and scholarly interpretations (assigned readings or independent research).</w:t>
      </w:r>
    </w:p>
    <w:p w14:paraId="03F68500" w14:textId="77777777" w:rsidR="00024851" w:rsidRPr="00024851" w:rsidRDefault="00024851" w:rsidP="00024851">
      <w:pPr>
        <w:numPr>
          <w:ilvl w:val="0"/>
          <w:numId w:val="1"/>
        </w:numPr>
        <w:rPr>
          <w:rFonts w:ascii="Times New Roman" w:hAnsi="Times New Roman" w:cs="Times New Roman"/>
          <w:sz w:val="24"/>
          <w:szCs w:val="24"/>
        </w:rPr>
      </w:pPr>
      <w:r w:rsidRPr="00024851">
        <w:rPr>
          <w:rFonts w:ascii="Times New Roman" w:hAnsi="Times New Roman" w:cs="Times New Roman"/>
          <w:b/>
          <w:bCs/>
          <w:sz w:val="24"/>
          <w:szCs w:val="24"/>
        </w:rPr>
        <w:t>Presenter 2 (Engagement Specialist):</w:t>
      </w:r>
      <w:r w:rsidRPr="00024851">
        <w:rPr>
          <w:rFonts w:ascii="Times New Roman" w:hAnsi="Times New Roman" w:cs="Times New Roman"/>
          <w:sz w:val="24"/>
          <w:szCs w:val="24"/>
        </w:rPr>
        <w:t xml:space="preserve"> Prepares for a Q&amp;A session by anticipating audience questions about historical context (e.g., Roman copies of Greek originals, the political or religious use of Aphrodite imagery) and responding critically using evidence-based reasoning.</w:t>
      </w:r>
    </w:p>
    <w:p w14:paraId="2358FA96" w14:textId="77777777" w:rsidR="00024851" w:rsidRPr="00024851" w:rsidRDefault="00024851" w:rsidP="00024851">
      <w:pPr>
        <w:rPr>
          <w:rFonts w:ascii="Times New Roman" w:hAnsi="Times New Roman" w:cs="Times New Roman"/>
          <w:sz w:val="24"/>
          <w:szCs w:val="24"/>
          <w:lang w:val="el-GR"/>
        </w:rPr>
      </w:pPr>
      <w:proofErr w:type="spellStart"/>
      <w:r w:rsidRPr="00024851">
        <w:rPr>
          <w:rFonts w:ascii="Times New Roman" w:hAnsi="Times New Roman" w:cs="Times New Roman"/>
          <w:b/>
          <w:bCs/>
          <w:sz w:val="24"/>
          <w:szCs w:val="24"/>
          <w:lang w:val="el-GR"/>
        </w:rPr>
        <w:t>Assessment</w:t>
      </w:r>
      <w:proofErr w:type="spellEnd"/>
      <w:r w:rsidRPr="00024851">
        <w:rPr>
          <w:rFonts w:ascii="Times New Roman" w:hAnsi="Times New Roman" w:cs="Times New Roman"/>
          <w:b/>
          <w:bCs/>
          <w:sz w:val="24"/>
          <w:szCs w:val="24"/>
          <w:lang w:val="el-GR"/>
        </w:rPr>
        <w:t xml:space="preserve"> </w:t>
      </w:r>
      <w:proofErr w:type="spellStart"/>
      <w:r w:rsidRPr="00024851">
        <w:rPr>
          <w:rFonts w:ascii="Times New Roman" w:hAnsi="Times New Roman" w:cs="Times New Roman"/>
          <w:b/>
          <w:bCs/>
          <w:sz w:val="24"/>
          <w:szCs w:val="24"/>
          <w:lang w:val="el-GR"/>
        </w:rPr>
        <w:t>Criteria</w:t>
      </w:r>
      <w:proofErr w:type="spellEnd"/>
      <w:r w:rsidRPr="00024851">
        <w:rPr>
          <w:rFonts w:ascii="Times New Roman" w:hAnsi="Times New Roman" w:cs="Times New Roman"/>
          <w:b/>
          <w:bCs/>
          <w:sz w:val="24"/>
          <w:szCs w:val="24"/>
          <w:lang w:val="el-GR"/>
        </w:rPr>
        <w:t>:</w:t>
      </w:r>
    </w:p>
    <w:p w14:paraId="27921F11" w14:textId="77777777" w:rsidR="00024851" w:rsidRPr="00024851" w:rsidRDefault="00024851" w:rsidP="00024851">
      <w:pPr>
        <w:numPr>
          <w:ilvl w:val="0"/>
          <w:numId w:val="2"/>
        </w:numPr>
        <w:rPr>
          <w:rFonts w:ascii="Times New Roman" w:hAnsi="Times New Roman" w:cs="Times New Roman"/>
          <w:sz w:val="24"/>
          <w:szCs w:val="24"/>
          <w:lang w:val="el-GR"/>
        </w:rPr>
      </w:pPr>
      <w:proofErr w:type="spellStart"/>
      <w:r w:rsidRPr="00024851">
        <w:rPr>
          <w:rFonts w:ascii="Times New Roman" w:hAnsi="Times New Roman" w:cs="Times New Roman"/>
          <w:sz w:val="24"/>
          <w:szCs w:val="24"/>
          <w:lang w:val="el-GR"/>
        </w:rPr>
        <w:t>Accuracy</w:t>
      </w:r>
      <w:proofErr w:type="spellEnd"/>
      <w:r w:rsidRPr="00024851">
        <w:rPr>
          <w:rFonts w:ascii="Times New Roman" w:hAnsi="Times New Roman" w:cs="Times New Roman"/>
          <w:sz w:val="24"/>
          <w:szCs w:val="24"/>
          <w:lang w:val="el-GR"/>
        </w:rPr>
        <w:t xml:space="preserve"> and </w:t>
      </w:r>
      <w:proofErr w:type="spellStart"/>
      <w:r w:rsidRPr="00024851">
        <w:rPr>
          <w:rFonts w:ascii="Times New Roman" w:hAnsi="Times New Roman" w:cs="Times New Roman"/>
          <w:sz w:val="24"/>
          <w:szCs w:val="24"/>
          <w:lang w:val="el-GR"/>
        </w:rPr>
        <w:t>depth</w:t>
      </w:r>
      <w:proofErr w:type="spellEnd"/>
      <w:r w:rsidRPr="00024851">
        <w:rPr>
          <w:rFonts w:ascii="Times New Roman" w:hAnsi="Times New Roman" w:cs="Times New Roman"/>
          <w:sz w:val="24"/>
          <w:szCs w:val="24"/>
          <w:lang w:val="el-GR"/>
        </w:rPr>
        <w:t xml:space="preserve"> of </w:t>
      </w:r>
      <w:proofErr w:type="spellStart"/>
      <w:r w:rsidRPr="00024851">
        <w:rPr>
          <w:rFonts w:ascii="Times New Roman" w:hAnsi="Times New Roman" w:cs="Times New Roman"/>
          <w:sz w:val="24"/>
          <w:szCs w:val="24"/>
          <w:lang w:val="el-GR"/>
        </w:rPr>
        <w:t>research</w:t>
      </w:r>
      <w:proofErr w:type="spellEnd"/>
    </w:p>
    <w:p w14:paraId="2BBE8919" w14:textId="77777777" w:rsidR="00024851" w:rsidRPr="00024851" w:rsidRDefault="00024851" w:rsidP="00024851">
      <w:pPr>
        <w:numPr>
          <w:ilvl w:val="0"/>
          <w:numId w:val="2"/>
        </w:numPr>
        <w:rPr>
          <w:rFonts w:ascii="Times New Roman" w:hAnsi="Times New Roman" w:cs="Times New Roman"/>
          <w:sz w:val="24"/>
          <w:szCs w:val="24"/>
        </w:rPr>
      </w:pPr>
      <w:r w:rsidRPr="00024851">
        <w:rPr>
          <w:rFonts w:ascii="Times New Roman" w:hAnsi="Times New Roman" w:cs="Times New Roman"/>
          <w:sz w:val="24"/>
          <w:szCs w:val="24"/>
        </w:rPr>
        <w:t>Use of appropriate art historical terminology</w:t>
      </w:r>
    </w:p>
    <w:p w14:paraId="479E4738" w14:textId="77777777" w:rsidR="00024851" w:rsidRPr="00024851" w:rsidRDefault="00024851" w:rsidP="00024851">
      <w:pPr>
        <w:numPr>
          <w:ilvl w:val="0"/>
          <w:numId w:val="2"/>
        </w:numPr>
        <w:rPr>
          <w:rFonts w:ascii="Times New Roman" w:hAnsi="Times New Roman" w:cs="Times New Roman"/>
          <w:sz w:val="24"/>
          <w:szCs w:val="24"/>
        </w:rPr>
      </w:pPr>
      <w:r w:rsidRPr="00024851">
        <w:rPr>
          <w:rFonts w:ascii="Times New Roman" w:hAnsi="Times New Roman" w:cs="Times New Roman"/>
          <w:sz w:val="24"/>
          <w:szCs w:val="24"/>
        </w:rPr>
        <w:t>Analytical insight into the sculpture's formal elements and cultural role</w:t>
      </w:r>
    </w:p>
    <w:p w14:paraId="1E1EFF98" w14:textId="77777777" w:rsidR="00024851" w:rsidRPr="00024851" w:rsidRDefault="00024851" w:rsidP="00024851">
      <w:pPr>
        <w:numPr>
          <w:ilvl w:val="0"/>
          <w:numId w:val="2"/>
        </w:numPr>
        <w:rPr>
          <w:rFonts w:ascii="Times New Roman" w:hAnsi="Times New Roman" w:cs="Times New Roman"/>
          <w:sz w:val="24"/>
          <w:szCs w:val="24"/>
        </w:rPr>
      </w:pPr>
      <w:r w:rsidRPr="00024851">
        <w:rPr>
          <w:rFonts w:ascii="Times New Roman" w:hAnsi="Times New Roman" w:cs="Times New Roman"/>
          <w:sz w:val="24"/>
          <w:szCs w:val="24"/>
        </w:rPr>
        <w:t>Clarity, structure, and confidence in presentation</w:t>
      </w:r>
    </w:p>
    <w:p w14:paraId="2640324D" w14:textId="77777777" w:rsidR="00024851" w:rsidRPr="00024851" w:rsidRDefault="00024851" w:rsidP="00024851">
      <w:pPr>
        <w:numPr>
          <w:ilvl w:val="0"/>
          <w:numId w:val="2"/>
        </w:numPr>
        <w:rPr>
          <w:rFonts w:ascii="Times New Roman" w:hAnsi="Times New Roman" w:cs="Times New Roman"/>
          <w:sz w:val="24"/>
          <w:szCs w:val="24"/>
        </w:rPr>
      </w:pPr>
      <w:r w:rsidRPr="00024851">
        <w:rPr>
          <w:rFonts w:ascii="Times New Roman" w:hAnsi="Times New Roman" w:cs="Times New Roman"/>
          <w:sz w:val="24"/>
          <w:szCs w:val="24"/>
        </w:rPr>
        <w:t>Ability to interpret and respond to complex questions critically</w:t>
      </w:r>
    </w:p>
    <w:p w14:paraId="07D683C6" w14:textId="77777777" w:rsidR="00024851" w:rsidRPr="00024851" w:rsidRDefault="00024851" w:rsidP="00024851">
      <w:pPr>
        <w:rPr>
          <w:rFonts w:ascii="Times New Roman" w:hAnsi="Times New Roman" w:cs="Times New Roman"/>
          <w:sz w:val="24"/>
          <w:szCs w:val="24"/>
        </w:rPr>
      </w:pPr>
      <w:r w:rsidRPr="00024851">
        <w:rPr>
          <w:rFonts w:ascii="Times New Roman" w:hAnsi="Times New Roman" w:cs="Times New Roman"/>
          <w:b/>
          <w:bCs/>
          <w:sz w:val="24"/>
          <w:szCs w:val="24"/>
        </w:rPr>
        <w:t>Extension Option:</w:t>
      </w:r>
      <w:r w:rsidRPr="00024851">
        <w:rPr>
          <w:rFonts w:ascii="Times New Roman" w:hAnsi="Times New Roman" w:cs="Times New Roman"/>
          <w:sz w:val="24"/>
          <w:szCs w:val="24"/>
        </w:rPr>
        <w:br/>
        <w:t>Have students record or perform their tour, followed by a group critique and discussion on how public interpretation shapes our understanding of ancient art.</w:t>
      </w:r>
    </w:p>
    <w:p w14:paraId="0AE5CDE3" w14:textId="77777777" w:rsidR="00024851" w:rsidRDefault="00024851">
      <w:pPr>
        <w:rPr>
          <w:rFonts w:ascii="Times New Roman" w:hAnsi="Times New Roman" w:cs="Times New Roman"/>
          <w:sz w:val="24"/>
          <w:szCs w:val="24"/>
        </w:rPr>
      </w:pPr>
    </w:p>
    <w:p w14:paraId="4368813A" w14:textId="30F752CA" w:rsidR="00024851" w:rsidRDefault="00024851">
      <w:pPr>
        <w:rPr>
          <w:rFonts w:ascii="Times New Roman" w:hAnsi="Times New Roman" w:cs="Times New Roman"/>
          <w:sz w:val="20"/>
          <w:szCs w:val="20"/>
        </w:rPr>
      </w:pPr>
      <w:r>
        <w:rPr>
          <w:noProof/>
        </w:rPr>
        <w:drawing>
          <wp:inline distT="0" distB="0" distL="0" distR="0" wp14:anchorId="6FF1C4C6" wp14:editId="4AB63A4F">
            <wp:extent cx="5274310" cy="3131820"/>
            <wp:effectExtent l="0" t="0" r="2540" b="0"/>
            <wp:docPr id="721595755" name="Picture 2" descr="A statue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595755" name="Picture 2" descr="A statue of a person&#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131820"/>
                    </a:xfrm>
                    <a:prstGeom prst="rect">
                      <a:avLst/>
                    </a:prstGeom>
                    <a:noFill/>
                    <a:ln>
                      <a:noFill/>
                    </a:ln>
                  </pic:spPr>
                </pic:pic>
              </a:graphicData>
            </a:graphic>
          </wp:inline>
        </w:drawing>
      </w:r>
    </w:p>
    <w:p w14:paraId="2D011218" w14:textId="77777777" w:rsidR="00063FA7" w:rsidRPr="00063FA7" w:rsidRDefault="00063FA7" w:rsidP="00063FA7">
      <w:pPr>
        <w:spacing w:after="0"/>
        <w:jc w:val="center"/>
        <w:rPr>
          <w:rFonts w:ascii="Times New Roman" w:hAnsi="Times New Roman" w:cs="Times New Roman"/>
          <w:sz w:val="20"/>
          <w:szCs w:val="20"/>
        </w:rPr>
      </w:pPr>
      <w:r w:rsidRPr="00063FA7">
        <w:rPr>
          <w:rFonts w:ascii="Times New Roman" w:hAnsi="Times New Roman" w:cs="Times New Roman"/>
          <w:b/>
          <w:bCs/>
          <w:sz w:val="20"/>
          <w:szCs w:val="20"/>
        </w:rPr>
        <w:t xml:space="preserve">Vénus </w:t>
      </w:r>
      <w:proofErr w:type="spellStart"/>
      <w:r w:rsidRPr="00063FA7">
        <w:rPr>
          <w:rFonts w:ascii="Times New Roman" w:hAnsi="Times New Roman" w:cs="Times New Roman"/>
          <w:b/>
          <w:bCs/>
          <w:sz w:val="20"/>
          <w:szCs w:val="20"/>
        </w:rPr>
        <w:t>d'Arles</w:t>
      </w:r>
      <w:proofErr w:type="spellEnd"/>
      <w:r w:rsidRPr="00063FA7">
        <w:rPr>
          <w:rFonts w:ascii="Times New Roman" w:hAnsi="Times New Roman" w:cs="Times New Roman"/>
          <w:b/>
          <w:bCs/>
          <w:sz w:val="20"/>
          <w:szCs w:val="20"/>
        </w:rPr>
        <w:t xml:space="preserve">, </w:t>
      </w:r>
      <w:r w:rsidRPr="00063FA7">
        <w:rPr>
          <w:rFonts w:ascii="Times New Roman" w:hAnsi="Times New Roman" w:cs="Times New Roman"/>
          <w:sz w:val="20"/>
          <w:szCs w:val="20"/>
        </w:rPr>
        <w:t>4th quarter 1st century BC,</w:t>
      </w:r>
      <w:r w:rsidRPr="00063FA7">
        <w:rPr>
          <w:rFonts w:ascii="Times New Roman" w:hAnsi="Times New Roman" w:cs="Times New Roman"/>
          <w:b/>
          <w:bCs/>
          <w:sz w:val="20"/>
          <w:szCs w:val="20"/>
        </w:rPr>
        <w:t xml:space="preserve"> </w:t>
      </w:r>
      <w:r w:rsidRPr="00C63D42">
        <w:rPr>
          <w:rFonts w:ascii="Times New Roman" w:hAnsi="Times New Roman" w:cs="Times New Roman"/>
          <w:sz w:val="20"/>
          <w:szCs w:val="20"/>
        </w:rPr>
        <w:t>Hymettus marble</w:t>
      </w:r>
      <w:r w:rsidRPr="00063FA7">
        <w:rPr>
          <w:rFonts w:ascii="Times New Roman" w:hAnsi="Times New Roman" w:cs="Times New Roman"/>
          <w:sz w:val="20"/>
          <w:szCs w:val="20"/>
        </w:rPr>
        <w:t xml:space="preserve">, Height: 220 cm, Louvre Museum, Paris, France (The arms, the nose, the neck were redone by Girardon. The bust and the folds were reworked by </w:t>
      </w:r>
      <w:r w:rsidRPr="00063FA7">
        <w:rPr>
          <w:rFonts w:ascii="Times New Roman" w:hAnsi="Times New Roman" w:cs="Times New Roman"/>
          <w:b/>
          <w:bCs/>
          <w:sz w:val="20"/>
          <w:szCs w:val="20"/>
        </w:rPr>
        <w:t>François Girardon,</w:t>
      </w:r>
      <w:r w:rsidRPr="00063FA7">
        <w:rPr>
          <w:rFonts w:ascii="Times New Roman" w:hAnsi="Times New Roman" w:cs="Times New Roman"/>
          <w:sz w:val="20"/>
          <w:szCs w:val="20"/>
        </w:rPr>
        <w:t xml:space="preserve"> during the 17</w:t>
      </w:r>
      <w:r w:rsidRPr="00063FA7">
        <w:rPr>
          <w:rFonts w:ascii="Times New Roman" w:hAnsi="Times New Roman" w:cs="Times New Roman"/>
          <w:sz w:val="20"/>
          <w:szCs w:val="20"/>
          <w:vertAlign w:val="superscript"/>
        </w:rPr>
        <w:t>th</w:t>
      </w:r>
      <w:r w:rsidRPr="00063FA7">
        <w:rPr>
          <w:rFonts w:ascii="Times New Roman" w:hAnsi="Times New Roman" w:cs="Times New Roman"/>
          <w:sz w:val="20"/>
          <w:szCs w:val="20"/>
        </w:rPr>
        <w:t xml:space="preserve"> century)</w:t>
      </w:r>
    </w:p>
    <w:p w14:paraId="1D1FECD3" w14:textId="650A03BD" w:rsidR="00063FA7" w:rsidRPr="00C63D42" w:rsidRDefault="00063FA7" w:rsidP="00063FA7">
      <w:pPr>
        <w:spacing w:after="0"/>
        <w:jc w:val="center"/>
        <w:rPr>
          <w:rFonts w:ascii="Times New Roman" w:hAnsi="Times New Roman" w:cs="Times New Roman"/>
          <w:sz w:val="20"/>
          <w:szCs w:val="20"/>
        </w:rPr>
      </w:pPr>
      <w:hyperlink r:id="rId8" w:history="1">
        <w:r w:rsidRPr="00063FA7">
          <w:rPr>
            <w:rStyle w:val="Hyperlink"/>
            <w:rFonts w:ascii="Times New Roman" w:hAnsi="Times New Roman" w:cs="Times New Roman"/>
            <w:sz w:val="20"/>
            <w:szCs w:val="20"/>
          </w:rPr>
          <w:t>https://collections.louvre.fr/en/ark:/53355/cl010277986</w:t>
        </w:r>
      </w:hyperlink>
    </w:p>
    <w:p w14:paraId="47E67029" w14:textId="77777777" w:rsidR="00024851" w:rsidRPr="00024851" w:rsidRDefault="00024851" w:rsidP="00024851">
      <w:pPr>
        <w:jc w:val="center"/>
        <w:rPr>
          <w:rFonts w:ascii="Times New Roman" w:hAnsi="Times New Roman" w:cs="Times New Roman"/>
          <w:sz w:val="20"/>
          <w:szCs w:val="20"/>
        </w:rPr>
      </w:pPr>
    </w:p>
    <w:sectPr w:rsidR="00024851" w:rsidRPr="0002485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41444"/>
    <w:multiLevelType w:val="multilevel"/>
    <w:tmpl w:val="4650E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F327B8"/>
    <w:multiLevelType w:val="multilevel"/>
    <w:tmpl w:val="E7540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1065560">
    <w:abstractNumId w:val="1"/>
  </w:num>
  <w:num w:numId="2" w16cid:durableId="383910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851"/>
    <w:rsid w:val="00024851"/>
    <w:rsid w:val="00063FA7"/>
    <w:rsid w:val="005232AA"/>
    <w:rsid w:val="00605659"/>
    <w:rsid w:val="00613769"/>
    <w:rsid w:val="00833C08"/>
    <w:rsid w:val="008C02FD"/>
    <w:rsid w:val="00B064A8"/>
    <w:rsid w:val="00B60AE2"/>
    <w:rsid w:val="00B70617"/>
    <w:rsid w:val="00C45A78"/>
    <w:rsid w:val="00CA0554"/>
    <w:rsid w:val="00D4291D"/>
    <w:rsid w:val="00E13CE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90836e,#dbd6cf,#e6e1c4,#f1eedf"/>
    </o:shapedefaults>
    <o:shapelayout v:ext="edit">
      <o:idmap v:ext="edit" data="1"/>
    </o:shapelayout>
  </w:shapeDefaults>
  <w:decimalSymbol w:val=","/>
  <w:listSeparator w:val=";"/>
  <w14:docId w14:val="6FE53248"/>
  <w15:chartTrackingRefBased/>
  <w15:docId w15:val="{F799459E-AEF7-4DBD-B179-A46322FC9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0248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8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8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8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48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48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48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48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48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851"/>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024851"/>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024851"/>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024851"/>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024851"/>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024851"/>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024851"/>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024851"/>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024851"/>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0248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851"/>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0248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851"/>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024851"/>
    <w:pPr>
      <w:spacing w:before="160"/>
      <w:jc w:val="center"/>
    </w:pPr>
    <w:rPr>
      <w:i/>
      <w:iCs/>
      <w:color w:val="404040" w:themeColor="text1" w:themeTint="BF"/>
    </w:rPr>
  </w:style>
  <w:style w:type="character" w:customStyle="1" w:styleId="QuoteChar">
    <w:name w:val="Quote Char"/>
    <w:basedOn w:val="DefaultParagraphFont"/>
    <w:link w:val="Quote"/>
    <w:uiPriority w:val="29"/>
    <w:rsid w:val="00024851"/>
    <w:rPr>
      <w:i/>
      <w:iCs/>
      <w:color w:val="404040" w:themeColor="text1" w:themeTint="BF"/>
      <w:lang w:val="en-US"/>
    </w:rPr>
  </w:style>
  <w:style w:type="paragraph" w:styleId="ListParagraph">
    <w:name w:val="List Paragraph"/>
    <w:basedOn w:val="Normal"/>
    <w:uiPriority w:val="34"/>
    <w:qFormat/>
    <w:rsid w:val="00024851"/>
    <w:pPr>
      <w:ind w:left="720"/>
      <w:contextualSpacing/>
    </w:pPr>
  </w:style>
  <w:style w:type="character" w:styleId="IntenseEmphasis">
    <w:name w:val="Intense Emphasis"/>
    <w:basedOn w:val="DefaultParagraphFont"/>
    <w:uiPriority w:val="21"/>
    <w:qFormat/>
    <w:rsid w:val="00024851"/>
    <w:rPr>
      <w:i/>
      <w:iCs/>
      <w:color w:val="0F4761" w:themeColor="accent1" w:themeShade="BF"/>
    </w:rPr>
  </w:style>
  <w:style w:type="paragraph" w:styleId="IntenseQuote">
    <w:name w:val="Intense Quote"/>
    <w:basedOn w:val="Normal"/>
    <w:next w:val="Normal"/>
    <w:link w:val="IntenseQuoteChar"/>
    <w:uiPriority w:val="30"/>
    <w:qFormat/>
    <w:rsid w:val="000248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4851"/>
    <w:rPr>
      <w:i/>
      <w:iCs/>
      <w:color w:val="0F4761" w:themeColor="accent1" w:themeShade="BF"/>
      <w:lang w:val="en-US"/>
    </w:rPr>
  </w:style>
  <w:style w:type="character" w:styleId="IntenseReference">
    <w:name w:val="Intense Reference"/>
    <w:basedOn w:val="DefaultParagraphFont"/>
    <w:uiPriority w:val="32"/>
    <w:qFormat/>
    <w:rsid w:val="00024851"/>
    <w:rPr>
      <w:b/>
      <w:bCs/>
      <w:smallCaps/>
      <w:color w:val="0F4761" w:themeColor="accent1" w:themeShade="BF"/>
      <w:spacing w:val="5"/>
    </w:rPr>
  </w:style>
  <w:style w:type="character" w:styleId="Hyperlink">
    <w:name w:val="Hyperlink"/>
    <w:basedOn w:val="DefaultParagraphFont"/>
    <w:uiPriority w:val="99"/>
    <w:unhideWhenUsed/>
    <w:rsid w:val="0002485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llections.louvre.fr/en/ark:/53355/cl010277986"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ogs.getty.edu/iris/the-christian-empire-that-grew-from-classical-roots/"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2</cp:revision>
  <dcterms:created xsi:type="dcterms:W3CDTF">2025-07-28T17:29:00Z</dcterms:created>
  <dcterms:modified xsi:type="dcterms:W3CDTF">2025-07-28T17:29:00Z</dcterms:modified>
</cp:coreProperties>
</file>